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204038" w:rsidRDefault="000B1F80" w:rsidP="00595B5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204038" w:rsidRDefault="00595B53" w:rsidP="00595B53">
      <w:pPr>
        <w:spacing w:after="120" w:line="240" w:lineRule="auto"/>
        <w:contextualSpacing/>
        <w:jc w:val="center"/>
        <w:rPr>
          <w:rFonts w:ascii="Times New Roman" w:hAnsi="Times New Roman" w:cs="Times New Roman"/>
          <w:sz w:val="24"/>
          <w:szCs w:val="24"/>
        </w:rPr>
      </w:pPr>
      <w:r w:rsidRPr="00204038">
        <w:rPr>
          <w:rFonts w:ascii="Times New Roman" w:hAnsi="Times New Roman" w:cs="Times New Roman"/>
          <w:sz w:val="24"/>
          <w:szCs w:val="24"/>
        </w:rPr>
        <w:t>(відповідно до пункту 4</w:t>
      </w:r>
      <w:r w:rsidRPr="00204038">
        <w:rPr>
          <w:rFonts w:ascii="Times New Roman" w:hAnsi="Times New Roman" w:cs="Times New Roman"/>
          <w:sz w:val="24"/>
          <w:szCs w:val="24"/>
          <w:vertAlign w:val="superscript"/>
        </w:rPr>
        <w:t xml:space="preserve">1 </w:t>
      </w:r>
      <w:r w:rsidRPr="00204038">
        <w:rPr>
          <w:rFonts w:ascii="Times New Roman" w:hAnsi="Times New Roman" w:cs="Times New Roman"/>
          <w:sz w:val="24"/>
          <w:szCs w:val="24"/>
        </w:rPr>
        <w:t>постанови КМУ від 11.10.2016 № 710 «Про ефективне використання державних коштів» (зі змінами))</w:t>
      </w:r>
    </w:p>
    <w:p w:rsidR="000B1F80" w:rsidRPr="00204038" w:rsidRDefault="000B1F80" w:rsidP="008155A1">
      <w:pPr>
        <w:pStyle w:val="a3"/>
        <w:numPr>
          <w:ilvl w:val="0"/>
          <w:numId w:val="1"/>
        </w:numPr>
        <w:tabs>
          <w:tab w:val="left" w:pos="851"/>
        </w:tabs>
        <w:spacing w:after="120" w:line="240" w:lineRule="auto"/>
        <w:ind w:left="0" w:firstLine="426"/>
        <w:contextualSpacing w:val="0"/>
        <w:jc w:val="both"/>
        <w:rPr>
          <w:rFonts w:ascii="Times New Roman" w:eastAsia="Times New Roman" w:hAnsi="Times New Roman"/>
          <w:sz w:val="24"/>
          <w:szCs w:val="24"/>
          <w:lang w:eastAsia="ru-RU"/>
        </w:rPr>
      </w:pPr>
      <w:r w:rsidRPr="00204038">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3B1720" w:rsidRPr="003B1720">
        <w:rPr>
          <w:rFonts w:ascii="Times New Roman" w:eastAsia="Times New Roman" w:hAnsi="Times New Roman"/>
          <w:sz w:val="24"/>
          <w:szCs w:val="24"/>
          <w:lang w:eastAsia="ru-RU"/>
        </w:rPr>
        <w:t>Окружний адміністративний суд міста Києва, вул. Велика Васильківська, 81а, м. Київ,  03150;</w:t>
      </w:r>
      <w:r w:rsidRPr="00204038">
        <w:rPr>
          <w:rFonts w:ascii="Times New Roman" w:eastAsia="Times New Roman" w:hAnsi="Times New Roman"/>
          <w:sz w:val="24"/>
          <w:szCs w:val="24"/>
          <w:lang w:eastAsia="ru-RU"/>
        </w:rPr>
        <w:t xml:space="preserve"> код за ЄДРПОУ – </w:t>
      </w:r>
      <w:r w:rsidR="003B1720">
        <w:rPr>
          <w:rFonts w:ascii="Times New Roman" w:eastAsia="Times New Roman" w:hAnsi="Times New Roman"/>
          <w:sz w:val="24"/>
          <w:szCs w:val="24"/>
          <w:lang w:eastAsia="ru-RU"/>
        </w:rPr>
        <w:t>334414689</w:t>
      </w:r>
      <w:r w:rsidRPr="00204038">
        <w:rPr>
          <w:rFonts w:ascii="Times New Roman" w:eastAsia="Times New Roman" w:hAnsi="Times New Roman"/>
          <w:sz w:val="24"/>
          <w:szCs w:val="24"/>
          <w:lang w:eastAsia="ru-RU"/>
        </w:rPr>
        <w:t>; категорія замовника – орган державної влади.</w:t>
      </w:r>
    </w:p>
    <w:p w:rsidR="009F610E" w:rsidRPr="008155A1" w:rsidRDefault="008155A1" w:rsidP="008155A1">
      <w:pPr>
        <w:tabs>
          <w:tab w:val="left" w:pos="426"/>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2. </w:t>
      </w:r>
      <w:r w:rsidR="000B1F80" w:rsidRPr="008155A1">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F610E" w:rsidRPr="008155A1">
        <w:rPr>
          <w:rFonts w:ascii="Times New Roman" w:eastAsia="Times New Roman" w:hAnsi="Times New Roman"/>
          <w:b/>
          <w:sz w:val="24"/>
          <w:szCs w:val="24"/>
          <w:lang w:eastAsia="ru-RU"/>
        </w:rPr>
        <w:t xml:space="preserve"> </w:t>
      </w:r>
      <w:r w:rsidR="003B1720" w:rsidRPr="008155A1">
        <w:rPr>
          <w:rFonts w:ascii="Times New Roman" w:eastAsia="Times New Roman" w:hAnsi="Times New Roman"/>
          <w:sz w:val="24"/>
          <w:szCs w:val="24"/>
          <w:lang w:eastAsia="ru-RU"/>
        </w:rPr>
        <w:t>«</w:t>
      </w:r>
      <w:r w:rsidR="008032E7" w:rsidRPr="008155A1">
        <w:rPr>
          <w:rFonts w:ascii="Times New Roman" w:eastAsia="Times New Roman" w:hAnsi="Times New Roman"/>
          <w:sz w:val="24"/>
          <w:szCs w:val="24"/>
          <w:lang w:eastAsia="ru-RU"/>
        </w:rPr>
        <w:t>22410000-7 - Марки (Поштові марки (знаки поштової оплати (ЗПО))»</w:t>
      </w:r>
    </w:p>
    <w:p w:rsidR="000B1F80" w:rsidRPr="008155A1" w:rsidRDefault="008155A1" w:rsidP="008155A1">
      <w:pPr>
        <w:tabs>
          <w:tab w:val="left" w:pos="851"/>
        </w:tabs>
        <w:spacing w:after="120" w:line="240" w:lineRule="auto"/>
        <w:ind w:left="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r w:rsidRPr="008155A1">
        <w:rPr>
          <w:rFonts w:ascii="Times New Roman" w:eastAsia="Times New Roman" w:hAnsi="Times New Roman"/>
          <w:b/>
          <w:sz w:val="24"/>
          <w:szCs w:val="24"/>
          <w:lang w:eastAsia="ru-RU"/>
        </w:rPr>
        <w:t>І</w:t>
      </w:r>
      <w:r w:rsidR="000B1F80" w:rsidRPr="008155A1">
        <w:rPr>
          <w:rFonts w:ascii="Times New Roman" w:eastAsia="Times New Roman" w:hAnsi="Times New Roman"/>
          <w:b/>
          <w:sz w:val="24"/>
          <w:szCs w:val="24"/>
          <w:lang w:eastAsia="ru-RU"/>
        </w:rPr>
        <w:t>дентифікатор закупівлі:</w:t>
      </w:r>
      <w:r w:rsidR="007F4FDD" w:rsidRPr="007F4FDD">
        <w:t xml:space="preserve"> </w:t>
      </w:r>
      <w:r w:rsidR="007F4FDD" w:rsidRPr="007F4FDD">
        <w:rPr>
          <w:rFonts w:ascii="Times New Roman" w:eastAsia="Times New Roman" w:hAnsi="Times New Roman"/>
          <w:b/>
          <w:sz w:val="24"/>
          <w:szCs w:val="24"/>
          <w:lang w:eastAsia="ru-RU"/>
        </w:rPr>
        <w:tab/>
      </w:r>
      <w:r w:rsidR="0058187F" w:rsidRPr="0058187F">
        <w:rPr>
          <w:rFonts w:ascii="Times New Roman" w:eastAsia="Times New Roman" w:hAnsi="Times New Roman"/>
          <w:b/>
          <w:sz w:val="24"/>
          <w:szCs w:val="24"/>
          <w:lang w:eastAsia="ru-RU"/>
        </w:rPr>
        <w:t>UA-2021-10-22-009043-b</w:t>
      </w:r>
      <w:r w:rsidR="00CE5E4C" w:rsidRPr="00CE5E4C">
        <w:t xml:space="preserve"> </w:t>
      </w:r>
      <w:r w:rsidR="008032E7" w:rsidRPr="008155A1">
        <w:rPr>
          <w:rFonts w:ascii="Times New Roman" w:hAnsi="Times New Roman"/>
          <w:b/>
          <w:sz w:val="24"/>
          <w:szCs w:val="24"/>
        </w:rPr>
        <w:t>( Переговорна процедура)</w:t>
      </w:r>
    </w:p>
    <w:p w:rsidR="008032E7" w:rsidRPr="008032E7" w:rsidRDefault="008032E7" w:rsidP="008032E7">
      <w:pPr>
        <w:tabs>
          <w:tab w:val="left" w:pos="851"/>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4. </w:t>
      </w:r>
      <w:r w:rsidR="00595B53" w:rsidRPr="008032E7">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595B53" w:rsidRPr="008032E7">
        <w:rPr>
          <w:rFonts w:ascii="Times New Roman" w:hAnsi="Times New Roman"/>
          <w:sz w:val="24"/>
          <w:szCs w:val="24"/>
        </w:rPr>
        <w:t xml:space="preserve"> </w:t>
      </w:r>
    </w:p>
    <w:p w:rsidR="008032E7" w:rsidRPr="008032E7" w:rsidRDefault="008155A1" w:rsidP="008155A1">
      <w:pPr>
        <w:pStyle w:val="a3"/>
        <w:tabs>
          <w:tab w:val="left" w:pos="851"/>
        </w:tabs>
        <w:spacing w:after="0" w:line="240" w:lineRule="auto"/>
        <w:ind w:left="0" w:firstLine="425"/>
        <w:jc w:val="both"/>
        <w:rPr>
          <w:rFonts w:ascii="Times New Roman" w:hAnsi="Times New Roman"/>
          <w:sz w:val="24"/>
          <w:szCs w:val="24"/>
        </w:rPr>
      </w:pPr>
      <w:r>
        <w:rPr>
          <w:rFonts w:ascii="Times New Roman" w:hAnsi="Times New Roman"/>
          <w:sz w:val="24"/>
          <w:szCs w:val="24"/>
        </w:rPr>
        <w:t xml:space="preserve"> </w:t>
      </w:r>
      <w:r w:rsidR="008032E7" w:rsidRPr="008032E7">
        <w:rPr>
          <w:rFonts w:ascii="Times New Roman" w:hAnsi="Times New Roman"/>
          <w:sz w:val="24"/>
          <w:szCs w:val="24"/>
        </w:rPr>
        <w:t>Поштова марка – державний знак, виготовлений у встановленому законодавством порядку із зазначенням його номінальної вартості та держави, який є засобом оплати послуг поштового зв’язку, що надаються національним оператором.  Національний оператор забезпечує надання на всій території України універсальних послуг поштового зв’язку за переліком (пересилання простих, рекомендованих поштових відправлень, інше), який затверджується Кабінетом Міністрів України. Акціонерне товариство «Укрпошта» набуло виключне право на видання, введення в обіг та організацію розповсюдження поштових марок, маркованих конвертів і карток, а також виведення їх з обігу. Технічні та якісні характеристики поштових марок повинні відповідати вимогам Положення про знаки поштової оплати, затвердженого наказом Міністерства транспорту та зв’язку України від 24.06.2010 №388.</w:t>
      </w:r>
    </w:p>
    <w:p w:rsidR="007F4FDD" w:rsidRDefault="008155A1" w:rsidP="008155A1">
      <w:pPr>
        <w:tabs>
          <w:tab w:val="left" w:pos="0"/>
        </w:tabs>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8032E7">
        <w:rPr>
          <w:rFonts w:ascii="Times New Roman" w:hAnsi="Times New Roman"/>
          <w:sz w:val="24"/>
          <w:szCs w:val="24"/>
        </w:rPr>
        <w:t xml:space="preserve">З метою </w:t>
      </w:r>
      <w:r w:rsidR="008032E7" w:rsidRPr="008032E7">
        <w:rPr>
          <w:rFonts w:ascii="Times New Roman" w:hAnsi="Times New Roman"/>
          <w:sz w:val="24"/>
          <w:szCs w:val="24"/>
        </w:rPr>
        <w:t xml:space="preserve">забезпечення потреби у регулярному  відправленні поштової кореспонденції </w:t>
      </w:r>
      <w:r w:rsidR="008032E7">
        <w:rPr>
          <w:rFonts w:ascii="Times New Roman" w:hAnsi="Times New Roman"/>
          <w:sz w:val="24"/>
          <w:szCs w:val="24"/>
        </w:rPr>
        <w:t>Окружним адміністративним судом</w:t>
      </w:r>
      <w:r w:rsidR="008032E7" w:rsidRPr="008032E7">
        <w:rPr>
          <w:rFonts w:ascii="Times New Roman" w:hAnsi="Times New Roman"/>
          <w:sz w:val="24"/>
          <w:szCs w:val="24"/>
        </w:rPr>
        <w:t xml:space="preserve"> міста Києва здійсню</w:t>
      </w:r>
      <w:r w:rsidR="008032E7">
        <w:rPr>
          <w:rFonts w:ascii="Times New Roman" w:hAnsi="Times New Roman"/>
          <w:sz w:val="24"/>
          <w:szCs w:val="24"/>
        </w:rPr>
        <w:t xml:space="preserve">ється </w:t>
      </w:r>
      <w:r w:rsidR="008032E7" w:rsidRPr="008032E7">
        <w:rPr>
          <w:rFonts w:ascii="Times New Roman" w:hAnsi="Times New Roman"/>
          <w:sz w:val="24"/>
          <w:szCs w:val="24"/>
        </w:rPr>
        <w:t xml:space="preserve"> закупів</w:t>
      </w:r>
      <w:r w:rsidR="008032E7">
        <w:rPr>
          <w:rFonts w:ascii="Times New Roman" w:hAnsi="Times New Roman"/>
          <w:sz w:val="24"/>
          <w:szCs w:val="24"/>
        </w:rPr>
        <w:t>ля</w:t>
      </w:r>
      <w:r w:rsidR="008032E7" w:rsidRPr="008032E7">
        <w:rPr>
          <w:rFonts w:ascii="Times New Roman" w:hAnsi="Times New Roman"/>
          <w:sz w:val="24"/>
          <w:szCs w:val="24"/>
        </w:rPr>
        <w:t xml:space="preserve"> знаків поштової оплати (літерних поштових марок) наступних номіналів</w:t>
      </w:r>
      <w:r w:rsidR="008032E7" w:rsidRPr="008032E7">
        <w:rPr>
          <w:rFonts w:ascii="Times New Roman" w:hAnsi="Times New Roman" w:cs="Times New Roman"/>
          <w:sz w:val="24"/>
          <w:szCs w:val="24"/>
        </w:rPr>
        <w:t>:</w:t>
      </w:r>
    </w:p>
    <w:p w:rsidR="0058187F" w:rsidRPr="0058187F" w:rsidRDefault="0058187F" w:rsidP="0058187F">
      <w:pPr>
        <w:tabs>
          <w:tab w:val="left" w:pos="0"/>
        </w:tabs>
        <w:spacing w:after="0" w:line="240" w:lineRule="auto"/>
        <w:jc w:val="both"/>
        <w:rPr>
          <w:rFonts w:ascii="Times New Roman" w:hAnsi="Times New Roman" w:cs="Times New Roman"/>
          <w:sz w:val="24"/>
          <w:szCs w:val="24"/>
        </w:rPr>
      </w:pPr>
      <w:bookmarkStart w:id="0" w:name="_GoBack"/>
      <w:bookmarkEnd w:id="0"/>
    </w:p>
    <w:tbl>
      <w:tblPr>
        <w:tblStyle w:val="a5"/>
        <w:tblW w:w="0" w:type="auto"/>
        <w:tblLook w:val="04A0" w:firstRow="1" w:lastRow="0" w:firstColumn="1" w:lastColumn="0" w:noHBand="0" w:noVBand="1"/>
      </w:tblPr>
      <w:tblGrid>
        <w:gridCol w:w="2122"/>
        <w:gridCol w:w="1984"/>
        <w:gridCol w:w="2835"/>
        <w:gridCol w:w="2688"/>
      </w:tblGrid>
      <w:tr w:rsidR="0058187F" w:rsidRPr="0058187F" w:rsidTr="00253C36">
        <w:tc>
          <w:tcPr>
            <w:tcW w:w="2122" w:type="dxa"/>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Назва</w:t>
            </w:r>
          </w:p>
        </w:tc>
        <w:tc>
          <w:tcPr>
            <w:tcW w:w="1984" w:type="dxa"/>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Вартість, грн</w:t>
            </w:r>
          </w:p>
        </w:tc>
        <w:tc>
          <w:tcPr>
            <w:tcW w:w="2835" w:type="dxa"/>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 xml:space="preserve">Кількість, </w:t>
            </w:r>
            <w:proofErr w:type="spellStart"/>
            <w:r w:rsidRPr="0058187F">
              <w:rPr>
                <w:rFonts w:ascii="Times New Roman" w:hAnsi="Times New Roman"/>
                <w:b/>
                <w:sz w:val="24"/>
                <w:szCs w:val="24"/>
              </w:rPr>
              <w:t>шт</w:t>
            </w:r>
            <w:proofErr w:type="spellEnd"/>
          </w:p>
        </w:tc>
        <w:tc>
          <w:tcPr>
            <w:tcW w:w="2688" w:type="dxa"/>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Сума, грн</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V</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10,50</w:t>
            </w:r>
          </w:p>
        </w:tc>
        <w:tc>
          <w:tcPr>
            <w:tcW w:w="2835"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14 850</w:t>
            </w:r>
          </w:p>
        </w:tc>
        <w:tc>
          <w:tcPr>
            <w:tcW w:w="2688"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155 925,00</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X</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40,00</w:t>
            </w:r>
          </w:p>
        </w:tc>
        <w:tc>
          <w:tcPr>
            <w:tcW w:w="2835"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13 860</w:t>
            </w:r>
          </w:p>
        </w:tc>
        <w:tc>
          <w:tcPr>
            <w:tcW w:w="2688"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554 400,00</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H</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0,50</w:t>
            </w:r>
          </w:p>
        </w:tc>
        <w:tc>
          <w:tcPr>
            <w:tcW w:w="2835"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31 882</w:t>
            </w:r>
          </w:p>
        </w:tc>
        <w:tc>
          <w:tcPr>
            <w:tcW w:w="2688"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15 941,00</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F</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20,00</w:t>
            </w:r>
          </w:p>
        </w:tc>
        <w:tc>
          <w:tcPr>
            <w:tcW w:w="2835"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12 276</w:t>
            </w:r>
          </w:p>
        </w:tc>
        <w:tc>
          <w:tcPr>
            <w:tcW w:w="2688"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245 520,00</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L</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13,00</w:t>
            </w:r>
          </w:p>
        </w:tc>
        <w:tc>
          <w:tcPr>
            <w:tcW w:w="2835"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1 980</w:t>
            </w:r>
          </w:p>
        </w:tc>
        <w:tc>
          <w:tcPr>
            <w:tcW w:w="2688"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25 740,00</w:t>
            </w:r>
          </w:p>
        </w:tc>
      </w:tr>
      <w:tr w:rsidR="0058187F" w:rsidRPr="0058187F" w:rsidTr="00253C36">
        <w:tc>
          <w:tcPr>
            <w:tcW w:w="2122"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Марка «</w:t>
            </w:r>
            <w:r w:rsidRPr="0058187F">
              <w:rPr>
                <w:rFonts w:ascii="Times New Roman" w:hAnsi="Times New Roman"/>
                <w:sz w:val="24"/>
                <w:szCs w:val="24"/>
                <w:lang w:val="en-US"/>
              </w:rPr>
              <w:t>T</w:t>
            </w:r>
            <w:r w:rsidRPr="0058187F">
              <w:rPr>
                <w:rFonts w:ascii="Times New Roman" w:hAnsi="Times New Roman"/>
                <w:sz w:val="24"/>
                <w:szCs w:val="24"/>
              </w:rPr>
              <w:t>»</w:t>
            </w:r>
          </w:p>
        </w:tc>
        <w:tc>
          <w:tcPr>
            <w:tcW w:w="1984"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5,25</w:t>
            </w:r>
          </w:p>
        </w:tc>
        <w:tc>
          <w:tcPr>
            <w:tcW w:w="2835"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2 376</w:t>
            </w:r>
          </w:p>
        </w:tc>
        <w:tc>
          <w:tcPr>
            <w:tcW w:w="2688" w:type="dxa"/>
          </w:tcPr>
          <w:p w:rsidR="0058187F" w:rsidRPr="0058187F" w:rsidRDefault="0058187F" w:rsidP="0058187F">
            <w:pPr>
              <w:tabs>
                <w:tab w:val="left" w:pos="0"/>
              </w:tabs>
              <w:jc w:val="both"/>
              <w:rPr>
                <w:rFonts w:ascii="Times New Roman" w:hAnsi="Times New Roman"/>
                <w:sz w:val="24"/>
                <w:szCs w:val="24"/>
              </w:rPr>
            </w:pPr>
            <w:r w:rsidRPr="0058187F">
              <w:rPr>
                <w:rFonts w:ascii="Times New Roman" w:hAnsi="Times New Roman"/>
                <w:sz w:val="24"/>
                <w:szCs w:val="24"/>
              </w:rPr>
              <w:t>12 474,00</w:t>
            </w:r>
          </w:p>
        </w:tc>
      </w:tr>
      <w:tr w:rsidR="0058187F" w:rsidRPr="0058187F" w:rsidTr="00253C36">
        <w:tc>
          <w:tcPr>
            <w:tcW w:w="4106" w:type="dxa"/>
            <w:gridSpan w:val="2"/>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Всього</w:t>
            </w:r>
          </w:p>
        </w:tc>
        <w:tc>
          <w:tcPr>
            <w:tcW w:w="2835" w:type="dxa"/>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77 224</w:t>
            </w:r>
          </w:p>
        </w:tc>
        <w:tc>
          <w:tcPr>
            <w:tcW w:w="2688" w:type="dxa"/>
          </w:tcPr>
          <w:p w:rsidR="0058187F" w:rsidRPr="0058187F" w:rsidRDefault="0058187F" w:rsidP="0058187F">
            <w:pPr>
              <w:tabs>
                <w:tab w:val="left" w:pos="0"/>
              </w:tabs>
              <w:jc w:val="both"/>
              <w:rPr>
                <w:rFonts w:ascii="Times New Roman" w:hAnsi="Times New Roman"/>
                <w:b/>
                <w:sz w:val="24"/>
                <w:szCs w:val="24"/>
              </w:rPr>
            </w:pPr>
            <w:r w:rsidRPr="0058187F">
              <w:rPr>
                <w:rFonts w:ascii="Times New Roman" w:hAnsi="Times New Roman"/>
                <w:b/>
                <w:sz w:val="24"/>
                <w:szCs w:val="24"/>
              </w:rPr>
              <w:t>1 010 000,00</w:t>
            </w:r>
          </w:p>
        </w:tc>
      </w:tr>
    </w:tbl>
    <w:p w:rsidR="0058187F" w:rsidRDefault="0058187F" w:rsidP="007F4FDD">
      <w:pPr>
        <w:tabs>
          <w:tab w:val="left" w:pos="0"/>
        </w:tabs>
        <w:spacing w:after="0" w:line="240" w:lineRule="auto"/>
        <w:jc w:val="both"/>
        <w:rPr>
          <w:rFonts w:ascii="Times New Roman" w:hAnsi="Times New Roman" w:cs="Times New Roman"/>
          <w:sz w:val="24"/>
          <w:szCs w:val="24"/>
        </w:rPr>
      </w:pPr>
    </w:p>
    <w:p w:rsidR="00355B34" w:rsidRPr="008032E7" w:rsidRDefault="008032E7" w:rsidP="007F4FDD">
      <w:pPr>
        <w:tabs>
          <w:tab w:val="left" w:pos="0"/>
        </w:tabs>
        <w:spacing w:after="0" w:line="240" w:lineRule="auto"/>
        <w:jc w:val="both"/>
        <w:rPr>
          <w:rFonts w:ascii="Times New Roman" w:eastAsia="Calibri" w:hAnsi="Times New Roman"/>
          <w:sz w:val="24"/>
          <w:szCs w:val="24"/>
        </w:rPr>
      </w:pPr>
      <w:r w:rsidRPr="008032E7">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w:t>
      </w:r>
      <w:r w:rsidRPr="008032E7">
        <w:rPr>
          <w:rFonts w:ascii="Times New Roman" w:eastAsia="Calibri" w:hAnsi="Times New Roman" w:cs="Times New Roman"/>
          <w:b/>
          <w:sz w:val="24"/>
          <w:szCs w:val="24"/>
        </w:rPr>
        <w:t>5</w:t>
      </w:r>
      <w:r>
        <w:rPr>
          <w:rFonts w:ascii="Times New Roman" w:eastAsia="Calibri" w:hAnsi="Times New Roman" w:cs="Times New Roman"/>
          <w:sz w:val="24"/>
          <w:szCs w:val="24"/>
        </w:rPr>
        <w:t>.</w:t>
      </w:r>
      <w:r w:rsidR="00C819C9" w:rsidRPr="008032E7">
        <w:rPr>
          <w:rFonts w:ascii="Times New Roman" w:eastAsia="Times New Roman" w:hAnsi="Times New Roman"/>
          <w:b/>
          <w:sz w:val="24"/>
          <w:szCs w:val="24"/>
          <w:lang w:eastAsia="ru-RU"/>
        </w:rPr>
        <w:t xml:space="preserve">Обґрунтування </w:t>
      </w:r>
      <w:r w:rsidR="00B12373" w:rsidRPr="008032E7">
        <w:rPr>
          <w:rFonts w:ascii="Times New Roman" w:eastAsia="Times New Roman" w:hAnsi="Times New Roman"/>
          <w:b/>
          <w:sz w:val="24"/>
          <w:szCs w:val="24"/>
          <w:lang w:eastAsia="ru-RU"/>
        </w:rPr>
        <w:t>розміру бюджетного призначення</w:t>
      </w:r>
      <w:r w:rsidR="00E33FD8" w:rsidRPr="008032E7">
        <w:rPr>
          <w:rFonts w:ascii="Times New Roman" w:eastAsia="Times New Roman" w:hAnsi="Times New Roman"/>
          <w:b/>
          <w:sz w:val="24"/>
          <w:szCs w:val="24"/>
          <w:lang w:eastAsia="ru-RU"/>
        </w:rPr>
        <w:t>:</w:t>
      </w:r>
      <w:r w:rsidR="009F610E" w:rsidRPr="008032E7">
        <w:rPr>
          <w:rFonts w:ascii="Times New Roman" w:eastAsia="Times New Roman" w:hAnsi="Times New Roman"/>
          <w:b/>
          <w:sz w:val="24"/>
          <w:szCs w:val="24"/>
          <w:lang w:eastAsia="ru-RU"/>
        </w:rPr>
        <w:t xml:space="preserve"> </w:t>
      </w:r>
      <w:r w:rsidR="00355B34" w:rsidRPr="008032E7">
        <w:rPr>
          <w:rFonts w:ascii="Times New Roman" w:eastAsia="Times New Roman" w:hAnsi="Times New Roman"/>
          <w:sz w:val="24"/>
          <w:szCs w:val="24"/>
          <w:lang w:eastAsia="ru-RU"/>
        </w:rPr>
        <w:t xml:space="preserve">Відповідно до статті 4 Закону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Кошторисом Окружного адміністративного суду міста Києва на  2021 рік, </w:t>
      </w:r>
      <w:r w:rsidR="0058187F">
        <w:rPr>
          <w:rFonts w:ascii="Times New Roman" w:eastAsia="Times New Roman" w:hAnsi="Times New Roman"/>
          <w:sz w:val="24"/>
          <w:szCs w:val="24"/>
          <w:lang w:val="ru-RU" w:eastAsia="ru-RU"/>
        </w:rPr>
        <w:t>з урахуванням зм</w:t>
      </w:r>
      <w:r w:rsidR="0058187F">
        <w:rPr>
          <w:rFonts w:ascii="Times New Roman" w:eastAsia="Times New Roman" w:hAnsi="Times New Roman"/>
          <w:sz w:val="24"/>
          <w:szCs w:val="24"/>
          <w:lang w:eastAsia="ru-RU"/>
        </w:rPr>
        <w:t xml:space="preserve">ін, </w:t>
      </w:r>
      <w:r w:rsidR="00355B34" w:rsidRPr="008032E7">
        <w:rPr>
          <w:rFonts w:ascii="Times New Roman" w:eastAsia="Times New Roman" w:hAnsi="Times New Roman"/>
          <w:sz w:val="24"/>
          <w:szCs w:val="24"/>
          <w:lang w:eastAsia="ru-RU"/>
        </w:rPr>
        <w:t xml:space="preserve"> передбачено видатки на закупівлю товару, що є предметом цієї закупівлі за КЕКВ 2210.</w:t>
      </w:r>
    </w:p>
    <w:p w:rsidR="00DD4E4A" w:rsidRPr="008155A1" w:rsidRDefault="008155A1" w:rsidP="008155A1">
      <w:pPr>
        <w:tabs>
          <w:tab w:val="left" w:pos="851"/>
        </w:tabs>
        <w:spacing w:after="0" w:line="240" w:lineRule="auto"/>
        <w:ind w:firstLine="426"/>
        <w:jc w:val="both"/>
        <w:rPr>
          <w:rFonts w:ascii="Times New Roman" w:hAnsi="Times New Roman"/>
          <w:sz w:val="24"/>
          <w:szCs w:val="24"/>
        </w:rPr>
      </w:pPr>
      <w:r>
        <w:rPr>
          <w:rFonts w:ascii="Times New Roman" w:eastAsia="Times New Roman" w:hAnsi="Times New Roman"/>
          <w:b/>
          <w:sz w:val="24"/>
          <w:szCs w:val="24"/>
          <w:lang w:eastAsia="ru-RU"/>
        </w:rPr>
        <w:t>6.</w:t>
      </w:r>
      <w:r w:rsidR="00DD4E4A" w:rsidRPr="008155A1">
        <w:rPr>
          <w:rFonts w:ascii="Times New Roman" w:eastAsia="Times New Roman" w:hAnsi="Times New Roman"/>
          <w:b/>
          <w:sz w:val="24"/>
          <w:szCs w:val="24"/>
          <w:lang w:eastAsia="ru-RU"/>
        </w:rPr>
        <w:t>Очікувана вартість предмета закупівлі:</w:t>
      </w:r>
      <w:r w:rsidR="00AE48A8" w:rsidRPr="00AE48A8">
        <w:t xml:space="preserve"> </w:t>
      </w:r>
      <w:r w:rsidR="0058187F" w:rsidRPr="0058187F">
        <w:rPr>
          <w:rFonts w:ascii="Times New Roman" w:hAnsi="Times New Roman" w:cs="Times New Roman"/>
          <w:b/>
          <w:sz w:val="24"/>
          <w:szCs w:val="24"/>
        </w:rPr>
        <w:t>1 010 000,00</w:t>
      </w:r>
      <w:r w:rsidR="0058187F">
        <w:t xml:space="preserve"> </w:t>
      </w:r>
      <w:r w:rsidR="00AE48A8" w:rsidRPr="008155A1">
        <w:rPr>
          <w:rFonts w:ascii="Times New Roman" w:eastAsia="Times New Roman" w:hAnsi="Times New Roman"/>
          <w:b/>
          <w:sz w:val="24"/>
          <w:szCs w:val="24"/>
          <w:lang w:eastAsia="ru-RU"/>
        </w:rPr>
        <w:t>грн.  (</w:t>
      </w:r>
      <w:r w:rsidR="00591474">
        <w:rPr>
          <w:rFonts w:ascii="Times New Roman" w:eastAsia="Times New Roman" w:hAnsi="Times New Roman"/>
          <w:b/>
          <w:sz w:val="24"/>
          <w:szCs w:val="24"/>
          <w:lang w:eastAsia="ru-RU"/>
        </w:rPr>
        <w:t xml:space="preserve">один мільйон </w:t>
      </w:r>
      <w:r w:rsidR="0058187F">
        <w:rPr>
          <w:rFonts w:ascii="Times New Roman" w:eastAsia="Times New Roman" w:hAnsi="Times New Roman"/>
          <w:b/>
          <w:sz w:val="24"/>
          <w:szCs w:val="24"/>
          <w:lang w:eastAsia="ru-RU"/>
        </w:rPr>
        <w:t xml:space="preserve">десять </w:t>
      </w:r>
      <w:r w:rsidR="00AE48A8" w:rsidRPr="008155A1">
        <w:rPr>
          <w:rFonts w:ascii="Times New Roman" w:eastAsia="Times New Roman" w:hAnsi="Times New Roman"/>
          <w:b/>
          <w:sz w:val="24"/>
          <w:szCs w:val="24"/>
          <w:lang w:eastAsia="ru-RU"/>
        </w:rPr>
        <w:t xml:space="preserve">тисяч гривень  00 коп.) </w:t>
      </w:r>
      <w:r w:rsidR="00355B34" w:rsidRPr="008155A1">
        <w:rPr>
          <w:rFonts w:ascii="Times New Roman" w:eastAsia="Times New Roman" w:hAnsi="Times New Roman"/>
          <w:b/>
          <w:sz w:val="24"/>
          <w:szCs w:val="24"/>
          <w:lang w:eastAsia="ru-RU"/>
        </w:rPr>
        <w:t>без</w:t>
      </w:r>
      <w:r w:rsidR="00AE48A8" w:rsidRPr="008155A1">
        <w:rPr>
          <w:rFonts w:ascii="Times New Roman" w:eastAsia="Times New Roman" w:hAnsi="Times New Roman"/>
          <w:b/>
          <w:sz w:val="24"/>
          <w:szCs w:val="24"/>
          <w:lang w:eastAsia="ru-RU"/>
        </w:rPr>
        <w:t xml:space="preserve"> ПДВ.</w:t>
      </w:r>
      <w:r w:rsidR="00DD4E4A" w:rsidRPr="008155A1">
        <w:rPr>
          <w:rFonts w:ascii="Times New Roman" w:eastAsia="Times New Roman" w:hAnsi="Times New Roman"/>
          <w:b/>
          <w:sz w:val="24"/>
          <w:szCs w:val="24"/>
          <w:lang w:eastAsia="ru-RU"/>
        </w:rPr>
        <w:t xml:space="preserve"> </w:t>
      </w:r>
    </w:p>
    <w:p w:rsidR="00355B34" w:rsidRPr="008155A1" w:rsidRDefault="008155A1" w:rsidP="008155A1">
      <w:pPr>
        <w:tabs>
          <w:tab w:val="left" w:pos="851"/>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7.</w:t>
      </w:r>
      <w:r w:rsidR="00B6060F" w:rsidRPr="008155A1">
        <w:rPr>
          <w:rFonts w:ascii="Times New Roman" w:eastAsia="Times New Roman" w:hAnsi="Times New Roman"/>
          <w:b/>
          <w:sz w:val="24"/>
          <w:szCs w:val="24"/>
          <w:lang w:eastAsia="ru-RU"/>
        </w:rPr>
        <w:t>Обґрунтування</w:t>
      </w:r>
      <w:r w:rsidR="00B12373" w:rsidRPr="008155A1">
        <w:rPr>
          <w:rFonts w:ascii="Times New Roman" w:eastAsia="Times New Roman" w:hAnsi="Times New Roman"/>
          <w:b/>
          <w:sz w:val="24"/>
          <w:szCs w:val="24"/>
          <w:lang w:eastAsia="ru-RU"/>
        </w:rPr>
        <w:t xml:space="preserve"> очікуваної вартості предмета закупівлі</w:t>
      </w:r>
      <w:r w:rsidR="00C819C9" w:rsidRPr="008155A1">
        <w:rPr>
          <w:rFonts w:ascii="Times New Roman" w:eastAsia="Times New Roman" w:hAnsi="Times New Roman"/>
          <w:b/>
          <w:sz w:val="24"/>
          <w:szCs w:val="24"/>
          <w:lang w:eastAsia="ru-RU"/>
        </w:rPr>
        <w:t>:</w:t>
      </w:r>
      <w:r w:rsidRPr="008155A1">
        <w:rPr>
          <w:rFonts w:ascii="Times New Roman" w:eastAsia="Times New Roman" w:hAnsi="Times New Roman"/>
          <w:b/>
          <w:sz w:val="24"/>
          <w:szCs w:val="24"/>
          <w:lang w:eastAsia="ru-RU"/>
        </w:rPr>
        <w:t xml:space="preserve"> </w:t>
      </w:r>
      <w:r w:rsidR="00355B34" w:rsidRPr="008155A1">
        <w:rPr>
          <w:rFonts w:ascii="Times New Roman" w:eastAsia="Times New Roman" w:hAnsi="Times New Roman"/>
          <w:sz w:val="24"/>
          <w:szCs w:val="24"/>
          <w:lang w:eastAsia="ru-RU"/>
        </w:rPr>
        <w:t xml:space="preserve">Очікувана вартість предмета закупівлі визначена </w:t>
      </w:r>
      <w:r w:rsidRPr="008155A1">
        <w:rPr>
          <w:rFonts w:ascii="Times New Roman" w:eastAsia="Times New Roman" w:hAnsi="Times New Roman"/>
          <w:sz w:val="24"/>
          <w:szCs w:val="24"/>
          <w:lang w:eastAsia="ru-RU"/>
        </w:rPr>
        <w:t xml:space="preserve"> відповідно </w:t>
      </w:r>
      <w:r w:rsidR="00355B34" w:rsidRPr="008155A1">
        <w:rPr>
          <w:rFonts w:ascii="Times New Roman" w:eastAsia="Times New Roman" w:hAnsi="Times New Roman"/>
          <w:sz w:val="24"/>
          <w:szCs w:val="24"/>
          <w:lang w:eastAsia="ru-RU"/>
        </w:rPr>
        <w:t>до номінальної вартості літерних поштових марок визначених  Граничними тарифами на універсальні послуги поштового зв’язку, затвердженими  рішенням НКРЗІ</w:t>
      </w:r>
      <w:r w:rsidR="0058187F">
        <w:rPr>
          <w:rFonts w:ascii="Times New Roman" w:eastAsia="Times New Roman" w:hAnsi="Times New Roman"/>
          <w:sz w:val="24"/>
          <w:szCs w:val="24"/>
          <w:lang w:eastAsia="ru-RU"/>
        </w:rPr>
        <w:t>.</w:t>
      </w:r>
    </w:p>
    <w:p w:rsidR="00355B34" w:rsidRPr="00355B34" w:rsidRDefault="00355B34" w:rsidP="00355B34">
      <w:pPr>
        <w:tabs>
          <w:tab w:val="left" w:pos="851"/>
        </w:tabs>
        <w:spacing w:after="0" w:line="240" w:lineRule="auto"/>
        <w:jc w:val="both"/>
        <w:rPr>
          <w:rFonts w:ascii="Times New Roman" w:eastAsia="Times New Roman" w:hAnsi="Times New Roman"/>
          <w:b/>
          <w:sz w:val="24"/>
          <w:szCs w:val="24"/>
          <w:lang w:eastAsia="ru-RU"/>
        </w:rPr>
      </w:pPr>
    </w:p>
    <w:sectPr w:rsidR="00355B34" w:rsidRPr="00355B34"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B1F80"/>
    <w:rsid w:val="000C58C4"/>
    <w:rsid w:val="000D292C"/>
    <w:rsid w:val="000D4E09"/>
    <w:rsid w:val="0015274D"/>
    <w:rsid w:val="001F3A51"/>
    <w:rsid w:val="00204038"/>
    <w:rsid w:val="00214C14"/>
    <w:rsid w:val="002F7D8B"/>
    <w:rsid w:val="00347FC7"/>
    <w:rsid w:val="00355B34"/>
    <w:rsid w:val="00370C4C"/>
    <w:rsid w:val="0038019F"/>
    <w:rsid w:val="003920C0"/>
    <w:rsid w:val="003B1720"/>
    <w:rsid w:val="00430E87"/>
    <w:rsid w:val="004C4952"/>
    <w:rsid w:val="005621FD"/>
    <w:rsid w:val="00575E3F"/>
    <w:rsid w:val="0058187F"/>
    <w:rsid w:val="005842B6"/>
    <w:rsid w:val="00591474"/>
    <w:rsid w:val="00595B53"/>
    <w:rsid w:val="006065A6"/>
    <w:rsid w:val="006124A8"/>
    <w:rsid w:val="00691B46"/>
    <w:rsid w:val="006A1BE5"/>
    <w:rsid w:val="006D6144"/>
    <w:rsid w:val="0071711D"/>
    <w:rsid w:val="00720079"/>
    <w:rsid w:val="00745EE1"/>
    <w:rsid w:val="00772C36"/>
    <w:rsid w:val="007F4FDD"/>
    <w:rsid w:val="008032E7"/>
    <w:rsid w:val="008155A1"/>
    <w:rsid w:val="008920DD"/>
    <w:rsid w:val="0089775A"/>
    <w:rsid w:val="008B26F8"/>
    <w:rsid w:val="00967420"/>
    <w:rsid w:val="009F610E"/>
    <w:rsid w:val="00A17217"/>
    <w:rsid w:val="00A83726"/>
    <w:rsid w:val="00AE48A8"/>
    <w:rsid w:val="00B12373"/>
    <w:rsid w:val="00B44B35"/>
    <w:rsid w:val="00B6060F"/>
    <w:rsid w:val="00BF06CA"/>
    <w:rsid w:val="00C11140"/>
    <w:rsid w:val="00C50EBF"/>
    <w:rsid w:val="00C819C9"/>
    <w:rsid w:val="00CB1DA7"/>
    <w:rsid w:val="00CE5E4C"/>
    <w:rsid w:val="00D417A2"/>
    <w:rsid w:val="00DD4E4A"/>
    <w:rsid w:val="00E33508"/>
    <w:rsid w:val="00E33FD8"/>
    <w:rsid w:val="00F94398"/>
    <w:rsid w:val="00FF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E2F1"/>
  <w15:docId w15:val="{12B21042-22A9-43C7-AA39-0E7C6353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у Знак"/>
    <w:link w:val="a3"/>
    <w:uiPriority w:val="34"/>
    <w:locked/>
    <w:rsid w:val="000B1F80"/>
    <w:rPr>
      <w:rFonts w:ascii="Calibri" w:eastAsia="Calibri" w:hAnsi="Calibri" w:cs="Times New Roman"/>
    </w:rPr>
  </w:style>
  <w:style w:type="table" w:styleId="a5">
    <w:name w:val="Table Grid"/>
    <w:basedOn w:val="a1"/>
    <w:uiPriority w:val="59"/>
    <w:rsid w:val="0058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2079</Words>
  <Characters>1186</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Корнієнко А.В.</cp:lastModifiedBy>
  <cp:revision>4</cp:revision>
  <cp:lastPrinted>2021-01-11T13:16:00Z</cp:lastPrinted>
  <dcterms:created xsi:type="dcterms:W3CDTF">2021-10-23T05:40:00Z</dcterms:created>
  <dcterms:modified xsi:type="dcterms:W3CDTF">2021-10-23T05:59:00Z</dcterms:modified>
</cp:coreProperties>
</file>